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81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959"/>
        <w:gridCol w:w="2970"/>
        <w:gridCol w:w="705"/>
        <w:gridCol w:w="720"/>
        <w:gridCol w:w="4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1816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36"/>
                <w:szCs w:val="36"/>
                <w:bdr w:val="none" w:color="auto" w:sz="0" w:space="0"/>
              </w:rPr>
              <w:t>2019</w:t>
            </w:r>
            <w:r>
              <w:rPr>
                <w:rFonts w:hint="eastAsia" w:ascii="黑体" w:hAnsi="宋体" w:eastAsia="黑体" w:cs="黑体"/>
                <w:sz w:val="36"/>
                <w:szCs w:val="36"/>
                <w:bdr w:val="none" w:color="auto" w:sz="0" w:space="0"/>
              </w:rPr>
              <w:t>年陕西省宝鸡市企事业单位招聘计划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ascii="方正小标宋简体" w:hAnsi="方正小标宋简体" w:eastAsia="方正小标宋简体" w:cs="方正小标宋简体"/>
                <w:bdr w:val="none" w:color="auto" w:sz="0" w:space="0"/>
              </w:rPr>
              <w:t>序号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dr w:val="none" w:color="auto" w:sz="0" w:space="0"/>
              </w:rPr>
              <w:t>主管部门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dr w:val="none" w:color="auto" w:sz="0" w:space="0"/>
              </w:rPr>
              <w:t>招 聘 单 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dr w:val="none" w:color="auto" w:sz="0" w:space="0"/>
              </w:rPr>
              <w:t>单位性质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dr w:val="none" w:color="auto" w:sz="0" w:space="0"/>
              </w:rPr>
              <w:t>计划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dr w:val="none" w:color="auto" w:sz="0" w:space="0"/>
              </w:rPr>
              <w:t>专业类别及学历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宝鸡市人民政府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宝鸡市高新区管委会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经济学类，本科及以上学历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财政类，本科及以上学历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城乡规划类，本科及以上学历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建筑类，本科及以上学历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5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计算机类，本科及以上学历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宝鸡市工信局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宝鸡市工业发展促进中心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经济学、产业经济学，本科及以上学历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宝鸡市人社局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宝鸡市人力资源社会保障信息中心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计算机类，本科及以上学历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8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宝鸡市文物局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宝鸡周原博物馆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历史学类，硕士及以上学历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9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法门寺博物馆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博物馆学或历史学，本科及以上学历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10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宝鸡市人民政府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宝鸡职业技术学院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舞蹈、艺术设计、艺术学理论专业教师，全日制硕士及以上学历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11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护理、基础医学、临床医学、妇产科学专业教师，全日制硕士及以上学历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12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检验、测控、机电工程、车辆专业教师，全日制硕士及以上学历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13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方剂学、康复、内科学、眼科学专业教师，全日制硕士及以上学历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14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会计、金融、技术经济及管理专业教师，全日制硕士及以上学历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15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食品科学专业教师，全日制硕士及以上学历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16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应用数学专业教师，全日制硕士及以上学历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17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思政教育、马克思主义中国化研究专业教师，全日制硕士及以上学历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18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体育教育训练专业教师，全日制硕士及以上学历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19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图书馆学、情报学专业教师，全日制硕士及以上学历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结构工程专业教师，全日制硕士及以上学历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21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辅导员，专业不限，全日制硕士及以上学历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22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宝鸡市卫生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         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健康委员会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宝鸡市中医医院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临床医学、外科、医学影像专业，硕士及以上学历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23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妇产科学专业，硕士及以上学历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24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麻醉、口腔、信息工程、财会、生物医学工程专业，本科及以上学历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25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宝鸡市中心医院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临床、影像、护理、药学和卫生各相关专业，本科及以上学历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26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宝鸡市第三人民医院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事业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内科学、外科学专业，硕士及以上学历，具备执业医师资格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27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宝鸡市国资委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陕西西凤酒股份有限公司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国企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市场营销，本科及以上学历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28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企业管理，本科及以上学历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29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行政管理、工商管理，本科及以上学历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30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信息管理与信息系统，本科及以上学历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31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会计学、财务管理，本科及以上学历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32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秘书学，本科及以上学历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33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媒体创意、广告学，本科及以上学历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34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陕西有色集团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宝钛集团有限公司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国企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材料科学类专业，本科及以上学历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35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宝鸡市人民政府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宝鸡市投资（集团）有限公司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国企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法学专业，本科及以上学历，具备法律执业资格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36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金融学、投资学专业，本科及以上学历，具有注册会计师证书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37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徐矿集团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陕西长青能源化工有限公司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国企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中文专业，本科及以上学历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38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化工类专业，本科及以上学历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39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陕西省国资委</w:t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陕西法士特汽车传动集团有限责任公司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国企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机械工程、车辆工程专业，本科及以上学历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40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金属材料及热处理相关专业，本科及以上学历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41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模具制造技术等相关专业，本科及以上学历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42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材料成型及控制工程（铸造方向）相关专业，本科及以上学历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43</w:t>
            </w:r>
          </w:p>
        </w:tc>
        <w:tc>
          <w:tcPr>
            <w:tcW w:w="19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计算机、机械电子工程、自动化等相关专业，硕士及以上学历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24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合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 xml:space="preserve">   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计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117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tabs>
          <w:tab w:val="left" w:pos="2338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C383F"/>
    <w:rsid w:val="0E7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6">
    <w:name w:val="hover8"/>
    <w:basedOn w:val="3"/>
    <w:uiPriority w:val="0"/>
    <w:rPr>
      <w:color w:val="FFFFFF"/>
    </w:rPr>
  </w:style>
  <w:style w:type="character" w:customStyle="1" w:styleId="7">
    <w:name w:val="hover9"/>
    <w:basedOn w:val="3"/>
    <w:uiPriority w:val="0"/>
    <w:rPr>
      <w:color w:val="5FB878"/>
    </w:rPr>
  </w:style>
  <w:style w:type="character" w:customStyle="1" w:styleId="8">
    <w:name w:val="hover10"/>
    <w:basedOn w:val="3"/>
    <w:uiPriority w:val="0"/>
    <w:rPr>
      <w:color w:val="5FB878"/>
    </w:rPr>
  </w:style>
  <w:style w:type="character" w:customStyle="1" w:styleId="9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10">
    <w:name w:val="first-child"/>
    <w:basedOn w:val="3"/>
    <w:uiPriority w:val="0"/>
    <w:rPr>
      <w:bdr w:val="none" w:color="auto" w:sz="0" w:space="0"/>
    </w:rPr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2019-03-06T09:53:00Z</dcterms:created>
  <dc:creator>Administrator</dc:creator>
  <cp:lastModifiedBy>Administrator</cp:lastModifiedBy>
  <dcterms:modified xsi:type="dcterms:W3CDTF">2019-03-06T10:01:40Z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